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D8C8C">
      <w:pPr>
        <w:widowControl/>
        <w:spacing w:line="560" w:lineRule="exact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</w:p>
    <w:p w14:paraId="668AB9C2">
      <w:pPr>
        <w:spacing w:line="560" w:lineRule="exact"/>
        <w:ind w:right="640"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54678E39">
      <w:pPr>
        <w:spacing w:line="560" w:lineRule="exact"/>
        <w:ind w:right="640" w:firstLine="720" w:firstLineChars="200"/>
        <w:jc w:val="center"/>
        <w:rPr>
          <w:rFonts w:hint="default" w:ascii="方正小标宋_GBK" w:hAnsi="Times New Roman" w:eastAsia="方正小标宋_GBK" w:cs="Times New Roman"/>
          <w:sz w:val="36"/>
          <w:szCs w:val="36"/>
          <w:lang w:val="en-US" w:eastAsia="zh-CN"/>
        </w:rPr>
      </w:pPr>
      <w:r>
        <w:rPr>
          <w:rFonts w:hint="eastAsia" w:ascii="方正小标宋_GBK" w:hAnsi="Times New Roman" w:eastAsia="方正小标宋_GBK" w:cs="Times New Roman"/>
          <w:sz w:val="36"/>
          <w:szCs w:val="36"/>
          <w:lang w:val="en-US" w:eastAsia="zh-CN"/>
        </w:rPr>
        <w:t>2026</w:t>
      </w:r>
      <w:r>
        <w:rPr>
          <w:rFonts w:hint="eastAsia" w:ascii="方正小标宋_GBK" w:hAnsi="Times New Roman" w:eastAsia="方正小标宋_GBK" w:cs="Times New Roman"/>
          <w:sz w:val="36"/>
          <w:szCs w:val="36"/>
        </w:rPr>
        <w:t>年</w:t>
      </w:r>
      <w:r>
        <w:rPr>
          <w:rFonts w:hint="eastAsia" w:ascii="方正小标宋_GBK" w:hAnsi="Times New Roman" w:eastAsia="方正小标宋_GBK" w:cs="Times New Roman"/>
          <w:sz w:val="36"/>
          <w:szCs w:val="36"/>
          <w:lang w:val="en-US" w:eastAsia="zh-CN"/>
        </w:rPr>
        <w:t>全市农业</w:t>
      </w:r>
      <w:r>
        <w:rPr>
          <w:rFonts w:hint="eastAsia" w:ascii="方正小标宋_GBK" w:hAnsi="Times New Roman" w:eastAsia="方正小标宋_GBK" w:cs="Times New Roman"/>
          <w:sz w:val="36"/>
          <w:szCs w:val="36"/>
        </w:rPr>
        <w:t>主导品种</w:t>
      </w:r>
      <w:r>
        <w:rPr>
          <w:rFonts w:hint="eastAsia" w:ascii="方正小标宋_GBK" w:hAnsi="Times New Roman" w:eastAsia="方正小标宋_GBK" w:cs="Times New Roman"/>
          <w:sz w:val="36"/>
          <w:szCs w:val="36"/>
          <w:lang w:eastAsia="zh-CN"/>
        </w:rPr>
        <w:t>、</w:t>
      </w:r>
      <w:r>
        <w:rPr>
          <w:rFonts w:hint="eastAsia" w:ascii="方正小标宋_GBK" w:hAnsi="Times New Roman" w:eastAsia="方正小标宋_GBK" w:cs="Times New Roman"/>
          <w:sz w:val="36"/>
          <w:szCs w:val="36"/>
        </w:rPr>
        <w:t>主推技术</w:t>
      </w:r>
      <w:r>
        <w:rPr>
          <w:rFonts w:hint="eastAsia" w:ascii="方正小标宋_GBK" w:hAnsi="Times New Roman" w:eastAsia="方正小标宋_GBK" w:cs="Times New Roman"/>
          <w:sz w:val="36"/>
          <w:szCs w:val="36"/>
          <w:lang w:eastAsia="zh-CN"/>
        </w:rPr>
        <w:t>、</w:t>
      </w:r>
      <w:r>
        <w:rPr>
          <w:rFonts w:hint="eastAsia" w:ascii="方正小标宋_GBK" w:hAnsi="Times New Roman" w:eastAsia="方正小标宋_GBK" w:cs="Times New Roman"/>
          <w:sz w:val="36"/>
          <w:szCs w:val="36"/>
          <w:lang w:val="en-US" w:eastAsia="zh-CN"/>
        </w:rPr>
        <w:t>主力农机</w:t>
      </w:r>
    </w:p>
    <w:p w14:paraId="3B1DE6A9">
      <w:pPr>
        <w:spacing w:line="560" w:lineRule="exact"/>
        <w:ind w:right="640"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6DA8931E">
      <w:pPr>
        <w:spacing w:line="560" w:lineRule="exact"/>
        <w:ind w:right="640" w:firstLine="640" w:firstLineChars="200"/>
        <w:rPr>
          <w:rFonts w:hint="eastAsia" w:ascii="方正黑体_GBK" w:hAnsi="Times New Roman" w:eastAsia="方正黑体_GBK" w:cs="Times New Roman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sz w:val="32"/>
          <w:szCs w:val="32"/>
        </w:rPr>
        <w:t>一、主导品种</w:t>
      </w:r>
    </w:p>
    <w:p w14:paraId="13A90B23">
      <w:pPr>
        <w:spacing w:line="560" w:lineRule="exact"/>
        <w:jc w:val="center"/>
        <w:rPr>
          <w:rFonts w:hint="eastAsia" w:ascii="Times New Roman" w:hAnsi="Times New Roman" w:eastAsia="方正仿宋_GBK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sz w:val="32"/>
          <w:szCs w:val="32"/>
          <w:lang w:val="en-US" w:eastAsia="zh-CN"/>
        </w:rPr>
        <w:t>粮油类</w:t>
      </w:r>
    </w:p>
    <w:p w14:paraId="1C29ADD7">
      <w:pPr>
        <w:spacing w:line="560" w:lineRule="exact"/>
        <w:ind w:firstLine="643" w:firstLineChars="200"/>
        <w:rPr>
          <w:rFonts w:hint="eastAsia" w:ascii="Times New Roman" w:hAnsi="Times New Roman" w:eastAsia="方正仿宋_GBK" w:cs="Times New Roman"/>
          <w:b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水稻</w:t>
      </w:r>
      <w:r>
        <w:rPr>
          <w:rFonts w:hint="eastAsia" w:ascii="Times New Roman" w:hAnsi="Times New Roman" w:eastAsia="方正仿宋_GBK" w:cs="Times New Roman"/>
          <w:b/>
          <w:sz w:val="32"/>
          <w:szCs w:val="32"/>
          <w:lang w:eastAsia="zh-CN"/>
        </w:rPr>
        <w:t>：</w:t>
      </w:r>
    </w:p>
    <w:p w14:paraId="64EA81E7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渠南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地区</w:t>
      </w:r>
      <w:r>
        <w:rPr>
          <w:rFonts w:ascii="Times New Roman" w:hAnsi="Times New Roman" w:eastAsia="方正仿宋_GBK" w:cs="Times New Roman"/>
          <w:sz w:val="32"/>
          <w:szCs w:val="32"/>
        </w:rPr>
        <w:t>：南粳9108、徽两优898、甬优4949</w:t>
      </w:r>
    </w:p>
    <w:p w14:paraId="30D8E3B5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渠北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地区</w:t>
      </w:r>
      <w:r>
        <w:rPr>
          <w:rFonts w:ascii="Times New Roman" w:hAnsi="Times New Roman" w:eastAsia="方正仿宋_GBK" w:cs="Times New Roman"/>
          <w:sz w:val="32"/>
          <w:szCs w:val="32"/>
        </w:rPr>
        <w:t>：</w:t>
      </w:r>
      <w:bookmarkStart w:id="0" w:name="OLE_LINK4"/>
      <w:bookmarkStart w:id="1" w:name="OLE_LINK3"/>
      <w:r>
        <w:rPr>
          <w:rFonts w:ascii="Times New Roman" w:hAnsi="Times New Roman" w:eastAsia="方正仿宋_GBK" w:cs="Times New Roman"/>
          <w:sz w:val="32"/>
          <w:szCs w:val="32"/>
        </w:rPr>
        <w:t>南粳5718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、南粳5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18、</w:t>
      </w:r>
      <w:r>
        <w:rPr>
          <w:rFonts w:ascii="Times New Roman" w:hAnsi="Times New Roman" w:eastAsia="方正仿宋_GBK" w:cs="Times New Roman"/>
          <w:sz w:val="32"/>
          <w:szCs w:val="32"/>
        </w:rPr>
        <w:t>荃两优丝苗</w:t>
      </w:r>
    </w:p>
    <w:bookmarkEnd w:id="0"/>
    <w:bookmarkEnd w:id="1"/>
    <w:p w14:paraId="2AE0B2CD">
      <w:pPr>
        <w:spacing w:line="560" w:lineRule="exact"/>
        <w:ind w:firstLine="643" w:firstLineChars="200"/>
        <w:rPr>
          <w:rFonts w:hint="eastAsia" w:ascii="Times New Roman" w:hAnsi="Times New Roman" w:eastAsia="方正仿宋_GBK" w:cs="Times New Roman"/>
          <w:b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小麦</w:t>
      </w:r>
      <w:r>
        <w:rPr>
          <w:rFonts w:hint="eastAsia" w:ascii="Times New Roman" w:hAnsi="Times New Roman" w:eastAsia="方正仿宋_GBK" w:cs="Times New Roman"/>
          <w:b/>
          <w:sz w:val="32"/>
          <w:szCs w:val="32"/>
          <w:lang w:eastAsia="zh-CN"/>
        </w:rPr>
        <w:t>：</w:t>
      </w:r>
    </w:p>
    <w:p w14:paraId="2654E845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淮南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地区</w:t>
      </w:r>
      <w:r>
        <w:rPr>
          <w:rFonts w:ascii="Times New Roman" w:hAnsi="Times New Roman" w:eastAsia="方正仿宋_GBK" w:cs="Times New Roman"/>
          <w:sz w:val="32"/>
          <w:szCs w:val="32"/>
        </w:rPr>
        <w:t>：扬麦25、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郑麦15、扬麦34</w:t>
      </w:r>
    </w:p>
    <w:p w14:paraId="46521F19">
      <w:pPr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淮北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地区</w:t>
      </w:r>
      <w:r>
        <w:rPr>
          <w:rFonts w:ascii="Times New Roman" w:hAnsi="Times New Roman" w:eastAsia="方正仿宋_GBK" w:cs="Times New Roman"/>
          <w:sz w:val="32"/>
          <w:szCs w:val="32"/>
        </w:rPr>
        <w:t>：淮麦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50</w:t>
      </w:r>
      <w:r>
        <w:rPr>
          <w:rFonts w:ascii="Times New Roman" w:hAnsi="Times New Roman" w:eastAsia="方正仿宋_GBK" w:cs="Times New Roman"/>
          <w:sz w:val="32"/>
          <w:szCs w:val="32"/>
        </w:rPr>
        <w:t>、淮麦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58</w:t>
      </w:r>
      <w:r>
        <w:rPr>
          <w:rFonts w:ascii="Times New Roman" w:hAnsi="Times New Roman" w:eastAsia="方正仿宋_GBK" w:cs="Times New Roman"/>
          <w:sz w:val="32"/>
          <w:szCs w:val="32"/>
        </w:rPr>
        <w:t>、淮麦46</w:t>
      </w:r>
    </w:p>
    <w:p w14:paraId="31ED37F6">
      <w:pPr>
        <w:spacing w:line="560" w:lineRule="exact"/>
        <w:ind w:right="640" w:firstLine="643" w:firstLineChars="20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园艺类</w:t>
      </w:r>
    </w:p>
    <w:p w14:paraId="6FD7B64C">
      <w:pPr>
        <w:spacing w:line="560" w:lineRule="exact"/>
        <w:ind w:right="640" w:firstLine="643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蔬菜：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辣椒“淮红一号”、西瓜“苏梦5号”</w:t>
      </w:r>
    </w:p>
    <w:p w14:paraId="6A9282F7">
      <w:pPr>
        <w:spacing w:line="560" w:lineRule="exact"/>
        <w:ind w:right="640" w:firstLine="643" w:firstLineChars="200"/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果树：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梨“苏翠1号”</w:t>
      </w:r>
    </w:p>
    <w:p w14:paraId="24A9D0C7">
      <w:pPr>
        <w:spacing w:line="560" w:lineRule="exact"/>
        <w:ind w:right="640" w:firstLine="643" w:firstLineChars="20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畜牧类</w:t>
      </w:r>
    </w:p>
    <w:p w14:paraId="31C491B7">
      <w:pPr>
        <w:spacing w:line="560" w:lineRule="exact"/>
        <w:ind w:right="640" w:firstLine="643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生猪：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“苏淮猪”</w:t>
      </w:r>
    </w:p>
    <w:p w14:paraId="42A4E355">
      <w:pPr>
        <w:spacing w:line="560" w:lineRule="exact"/>
        <w:ind w:right="640" w:firstLine="643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家禽：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“江南白鹅”</w:t>
      </w:r>
    </w:p>
    <w:p w14:paraId="6E462128">
      <w:pPr>
        <w:spacing w:line="560" w:lineRule="exact"/>
        <w:ind w:right="640" w:firstLine="643" w:firstLineChars="20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水产类</w:t>
      </w:r>
    </w:p>
    <w:p w14:paraId="477B35BB">
      <w:pPr>
        <w:spacing w:line="560" w:lineRule="exact"/>
        <w:ind w:right="640" w:firstLine="643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虾：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克氏原螯虾“盱眙1号”、</w:t>
      </w:r>
    </w:p>
    <w:p w14:paraId="0DB67DFC">
      <w:pPr>
        <w:spacing w:line="560" w:lineRule="exact"/>
        <w:ind w:right="640" w:firstLine="643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蟹：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中华绒螯蟹“长江2号”、中华绒螯蟹“诺亚1号”、中华绒螯蟹“金农1号”</w:t>
      </w:r>
    </w:p>
    <w:p w14:paraId="5333E6CC">
      <w:pPr>
        <w:spacing w:line="560" w:lineRule="exact"/>
        <w:ind w:right="640" w:firstLine="643" w:firstLineChars="200"/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淡水鱼：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团头鲂“浦江2号”</w:t>
      </w:r>
    </w:p>
    <w:p w14:paraId="2306191F">
      <w:pPr>
        <w:spacing w:line="560" w:lineRule="exact"/>
        <w:ind w:firstLine="640" w:firstLineChars="200"/>
        <w:rPr>
          <w:rFonts w:hint="eastAsia" w:ascii="方正黑体_GBK" w:hAnsi="Times New Roman" w:eastAsia="方正黑体_GBK" w:cs="Times New Roman"/>
          <w:sz w:val="32"/>
          <w:szCs w:val="32"/>
          <w:shd w:val="clear" w:color="auto" w:fill="FFFFFF"/>
        </w:rPr>
      </w:pPr>
      <w:r>
        <w:rPr>
          <w:rFonts w:hint="eastAsia" w:ascii="方正黑体_GBK" w:hAnsi="Times New Roman" w:eastAsia="方正黑体_GBK" w:cs="Times New Roman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方正黑体_GBK" w:hAnsi="Times New Roman" w:eastAsia="方正黑体_GBK" w:cs="Times New Roman"/>
          <w:sz w:val="32"/>
          <w:szCs w:val="32"/>
          <w:shd w:val="clear" w:color="auto" w:fill="FFFFFF"/>
        </w:rPr>
        <w:t>、主推技术</w:t>
      </w:r>
    </w:p>
    <w:p w14:paraId="295760D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黑体_GBK" w:hAnsi="Times New Roman" w:eastAsia="方正黑体_GBK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粮油类</w:t>
      </w:r>
    </w:p>
    <w:p w14:paraId="77C0D6F6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机插水稻整建市域单产提升适用技术</w:t>
      </w:r>
    </w:p>
    <w:p w14:paraId="7A3A4307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水稻机插秧壮苗培育技术</w:t>
      </w:r>
    </w:p>
    <w:p w14:paraId="107288C1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水稻“侧深施肥+一基一追”全程机械化施肥技术模式</w:t>
      </w:r>
    </w:p>
    <w:p w14:paraId="13F8590F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水稻营养遥感诊断无人机精准施肥技术</w:t>
      </w:r>
    </w:p>
    <w:p w14:paraId="33911784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5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水稻二化螟全程综合防治技术</w:t>
      </w:r>
    </w:p>
    <w:p w14:paraId="7E3A7F96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6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水稻干尖线虫病风险分级与防控技术</w:t>
      </w:r>
    </w:p>
    <w:p w14:paraId="5958AB0D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7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稻茬小麦大面积单产提升技术</w:t>
      </w:r>
    </w:p>
    <w:p w14:paraId="70A400FF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8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小麦等深压带精量播种技术</w:t>
      </w:r>
    </w:p>
    <w:p w14:paraId="254512F7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9. 小麦主要病虫绿色高效防控技术</w:t>
      </w:r>
    </w:p>
    <w:p w14:paraId="04A621AF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10.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大豆玉米带状复合种植绿色高效控草技术</w:t>
      </w:r>
    </w:p>
    <w:p w14:paraId="19056621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1.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夏大豆绿色综合抗逆调控栽培技术</w:t>
      </w:r>
    </w:p>
    <w:p w14:paraId="0A3DC161">
      <w:pPr>
        <w:widowControl/>
        <w:spacing w:line="560" w:lineRule="exact"/>
        <w:jc w:val="center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园艺类</w:t>
      </w:r>
    </w:p>
    <w:p w14:paraId="102C436F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2.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利用冬闲蔬菜大棚绿色高效栽培羊肚菌技术</w:t>
      </w:r>
    </w:p>
    <w:p w14:paraId="2679F7A2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3.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淮安地方特色“紫芽青”水果萝卜活体保鲜栽培技术</w:t>
      </w:r>
    </w:p>
    <w:p w14:paraId="5B7683A4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14.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设施蔬菜连作障碍绿色防控与解除技术</w:t>
      </w:r>
    </w:p>
    <w:p w14:paraId="4B6155F1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5.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设施西瓜优质绿色简约化栽培技术</w:t>
      </w:r>
    </w:p>
    <w:p w14:paraId="787C5ABC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6.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芹菜周年多茬轻简高效绿色生产技术</w:t>
      </w:r>
    </w:p>
    <w:p w14:paraId="33D158FE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7.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低产低效梨园改造技术</w:t>
      </w:r>
    </w:p>
    <w:p w14:paraId="44FACDB2">
      <w:pPr>
        <w:spacing w:line="560" w:lineRule="exact"/>
        <w:ind w:right="640" w:firstLine="643" w:firstLineChars="200"/>
        <w:jc w:val="center"/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畜牧类</w:t>
      </w:r>
    </w:p>
    <w:p w14:paraId="4234091F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8.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家禽养殖抗菌药减量使用关键技术</w:t>
      </w:r>
    </w:p>
    <w:p w14:paraId="0C01D82E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19.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蛋鸡H笼立体高效养殖技术</w:t>
      </w:r>
    </w:p>
    <w:p w14:paraId="5DEE6BB1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20.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肉鸡多层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智能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养殖技术</w:t>
      </w:r>
    </w:p>
    <w:p w14:paraId="62E2A320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1.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商品猪节粮降耗养殖综合技术</w:t>
      </w:r>
    </w:p>
    <w:p w14:paraId="4F411D4A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2.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非洲猪瘟生物安全防控技术</w:t>
      </w:r>
    </w:p>
    <w:p w14:paraId="48953797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畜禽粪污高效处理与还田利用技术</w:t>
      </w:r>
    </w:p>
    <w:p w14:paraId="54A6D139">
      <w:pPr>
        <w:spacing w:line="560" w:lineRule="exact"/>
        <w:ind w:right="640" w:firstLine="643" w:firstLineChars="200"/>
        <w:jc w:val="center"/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水产类</w:t>
      </w:r>
    </w:p>
    <w:p w14:paraId="0B7C2458">
      <w:pPr>
        <w:widowControl/>
        <w:numPr>
          <w:ilvl w:val="0"/>
          <w:numId w:val="1"/>
        </w:numPr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克氏原螯虾水花苗生产技术</w:t>
      </w:r>
    </w:p>
    <w:p w14:paraId="763ABC32">
      <w:pPr>
        <w:widowControl/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25.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中华绒螯蟹池塘全母高效养殖技术</w:t>
      </w:r>
    </w:p>
    <w:p w14:paraId="18B365BE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6.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池塘河蟹绿色高效关键养殖技术</w:t>
      </w:r>
    </w:p>
    <w:p w14:paraId="05C91564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7. 淡水虾蟹耦合技术</w:t>
      </w:r>
    </w:p>
    <w:p w14:paraId="6C9CA2D5">
      <w:pPr>
        <w:widowControl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8. 设施化稻田无环沟稻虾综合种养技术</w:t>
      </w:r>
    </w:p>
    <w:p w14:paraId="6C5135C9">
      <w:pPr>
        <w:spacing w:line="560" w:lineRule="exact"/>
        <w:ind w:right="640" w:firstLine="643" w:firstLineChars="200"/>
        <w:jc w:val="center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绿色农业类</w:t>
      </w:r>
    </w:p>
    <w:p w14:paraId="3467AB97">
      <w:pPr>
        <w:widowControl/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29.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水稻“沼液还田+配方肥施用”技术模式</w:t>
      </w:r>
    </w:p>
    <w:p w14:paraId="0AA4C183">
      <w:pPr>
        <w:widowControl/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30.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芡实壳生物发酵制备功能型有机肥与育苗基质技术</w:t>
      </w:r>
    </w:p>
    <w:p w14:paraId="5FC413A5">
      <w:pPr>
        <w:widowControl/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25C721D1">
      <w:pPr>
        <w:spacing w:line="560" w:lineRule="exact"/>
        <w:ind w:firstLine="640" w:firstLineChars="200"/>
        <w:rPr>
          <w:rFonts w:hint="eastAsia" w:ascii="方正黑体_GBK" w:hAnsi="Times New Roman" w:eastAsia="方正黑体_GBK" w:cs="Times New Roman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Times New Roman" w:eastAsia="方正黑体_GBK" w:cs="Times New Roman"/>
          <w:sz w:val="32"/>
          <w:szCs w:val="32"/>
          <w:shd w:val="clear" w:color="auto" w:fill="FFFFFF"/>
          <w:lang w:val="en-US" w:eastAsia="zh-CN"/>
        </w:rPr>
        <w:t>三、主力农机</w:t>
      </w:r>
    </w:p>
    <w:p w14:paraId="0C970C3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粮油类</w:t>
      </w:r>
    </w:p>
    <w:p w14:paraId="464C952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 58.8千瓦以上拖拉机</w:t>
      </w:r>
    </w:p>
    <w:p w14:paraId="2A520E1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 开沟机</w:t>
      </w:r>
    </w:p>
    <w:p w14:paraId="2989755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 液压翻转犁</w:t>
      </w:r>
    </w:p>
    <w:p w14:paraId="0E19B7B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 卫星（激光）平地机</w:t>
      </w:r>
    </w:p>
    <w:p w14:paraId="1FB35A2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 精量播种机</w:t>
      </w:r>
    </w:p>
    <w:p w14:paraId="54FC766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6. 乘坐式水稻插秧机</w:t>
      </w:r>
    </w:p>
    <w:p w14:paraId="0AC19E4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7. 玉米品字形高速精量播种机</w:t>
      </w:r>
    </w:p>
    <w:p w14:paraId="0087800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8. 植保无人驾驶航空器</w:t>
      </w:r>
    </w:p>
    <w:p w14:paraId="37C4934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9. 高地隙自走式喷杆喷雾机</w:t>
      </w:r>
    </w:p>
    <w:p w14:paraId="184ED9F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10. 玉米籽粒收获机</w:t>
      </w:r>
    </w:p>
    <w:p w14:paraId="121AA01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11. 谷物联合收割机</w:t>
      </w:r>
    </w:p>
    <w:p w14:paraId="54ABBA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12. 谷物（粮食）干燥机</w:t>
      </w:r>
    </w:p>
    <w:p w14:paraId="1E255E3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园艺类</w:t>
      </w:r>
    </w:p>
    <w:p w14:paraId="398ECCD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智能蔬菜直播机</w:t>
      </w:r>
    </w:p>
    <w:p w14:paraId="4D7E7E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蔬菜移栽机</w:t>
      </w:r>
    </w:p>
    <w:p w14:paraId="1B0C695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叶菜收获机</w:t>
      </w:r>
    </w:p>
    <w:p w14:paraId="49955B5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果园风送式智能植保机</w:t>
      </w:r>
    </w:p>
    <w:p w14:paraId="1A2D55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果园智能割草机</w:t>
      </w:r>
    </w:p>
    <w:p w14:paraId="22160E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果园有机肥开沟施肥机</w:t>
      </w:r>
    </w:p>
    <w:p w14:paraId="4F664B9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畜牧类</w:t>
      </w:r>
    </w:p>
    <w:p w14:paraId="097E9D4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蛋鸡鸡粪烘干设备</w:t>
      </w:r>
    </w:p>
    <w:p w14:paraId="650795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笼养畜禽智能饲喂系统</w:t>
      </w:r>
    </w:p>
    <w:p w14:paraId="12D652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水产类</w:t>
      </w:r>
    </w:p>
    <w:p w14:paraId="742210F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池塘虾蟹投饵、撒菌用无人驾驶航空器</w:t>
      </w:r>
    </w:p>
    <w:p w14:paraId="084E7CD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池塘水草疏割机</w:t>
      </w:r>
    </w:p>
    <w:p w14:paraId="0CB1F0A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 智能激光驱鸟器</w:t>
      </w:r>
    </w:p>
    <w:p w14:paraId="1F68FA3C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AA20B4"/>
    <w:multiLevelType w:val="singleLevel"/>
    <w:tmpl w:val="99AA20B4"/>
    <w:lvl w:ilvl="0" w:tentative="0">
      <w:start w:val="2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DE5AA9"/>
    <w:rsid w:val="40DE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2026-08-13T02:20:00Z</dcterms:created>
  <dc:creator>我是个正经人</dc:creator>
  <cp:lastModifiedBy>我是个正经人</cp:lastModifiedBy>
  <dcterms:modified xsi:type="dcterms:W3CDTF">2026-08-13T02:20:58Z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1446136D306A4E209D091B5BA1FA1999_11</vt:lpwstr>
  </property>
  <property fmtid="{D5CDD505-2E9C-101B-9397-08002B2CF9AE}" pid="4" name="KSOTemplateDocerSaveRecord">
    <vt:lpwstr>eyJoZGlkIjoiM2RhY2YyNDY5ODVkZDBkMzJkMDEwZGM2ZmQ5OWYwNmUiLCJ1c2VySWQiOiI1MDc1ODU4MjMifQ==</vt:lpwstr>
  </property>
</Properties>
</file>