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</w:pPr>
    </w:p>
    <w:p>
      <w:pPr>
        <w:pStyle w:val="4"/>
        <w:widowControl/>
        <w:spacing w:before="0" w:beforeAutospacing="0" w:after="0" w:afterAutospacing="0" w:line="660" w:lineRule="exact"/>
        <w:jc w:val="center"/>
        <w:rPr>
          <w:rFonts w:ascii="Times New Roman" w:hAnsi="Times New Roman" w:eastAsia="方正小标宋_GBK"/>
          <w:b w:val="0"/>
          <w:bCs w:val="0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 w:val="0"/>
          <w:bCs w:val="0"/>
          <w:color w:val="000000"/>
          <w:kern w:val="2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/>
          <w:b w:val="0"/>
          <w:bCs w:val="0"/>
          <w:color w:val="000000"/>
          <w:kern w:val="2"/>
          <w:sz w:val="44"/>
          <w:szCs w:val="44"/>
        </w:rPr>
        <w:t>关于稳定扶持政策促进生猪产业</w:t>
      </w:r>
    </w:p>
    <w:p>
      <w:pPr>
        <w:spacing w:line="660" w:lineRule="exact"/>
        <w:jc w:val="center"/>
        <w:rPr>
          <w:rFonts w:hint="default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/>
          <w:b w:val="0"/>
          <w:bCs w:val="0"/>
          <w:color w:val="000000"/>
          <w:kern w:val="2"/>
          <w:sz w:val="44"/>
          <w:szCs w:val="44"/>
        </w:rPr>
        <w:t>持续健康发展的实施方案</w:t>
      </w:r>
      <w:r>
        <w:rPr>
          <w:rFonts w:hint="eastAsia" w:ascii="Times New Roman" w:hAnsi="Times New Roman" w:eastAsia="方正小标宋_GBK"/>
          <w:b w:val="0"/>
          <w:bCs w:val="0"/>
          <w:color w:val="000000"/>
          <w:kern w:val="2"/>
          <w:sz w:val="44"/>
          <w:szCs w:val="44"/>
          <w:lang w:eastAsia="zh-CN"/>
        </w:rPr>
        <w:t>》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政策解读</w:t>
      </w:r>
    </w:p>
    <w:bookmarkEnd w:id="0"/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60" w:lineRule="exact"/>
        <w:ind w:firstLine="640" w:firstLineChars="20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近日，市农业农村局联合市发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改委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、市财政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局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、市生态环境局、市商务局、中国银保监会淮安监管分局联合印发《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关于稳定扶持政策促进生猪产业持续健康发展的实施方案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》（淮农发〔2022〕32号）（以下简称《实施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方案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》），现就实施方案制定的依据、主要内容、工作要求等作如下解读：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制定依据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和背景</w:t>
      </w:r>
    </w:p>
    <w:p>
      <w:pPr>
        <w:pStyle w:val="4"/>
        <w:widowControl/>
        <w:spacing w:before="0" w:beforeAutospacing="0" w:after="0" w:afterAutospacing="0" w:line="660" w:lineRule="exact"/>
        <w:jc w:val="left"/>
        <w:rPr>
          <w:rFonts w:hint="eastAsia" w:eastAsia="方正小标宋_GBK"/>
          <w:b w:val="0"/>
          <w:bCs w:val="0"/>
          <w:color w:val="000000"/>
          <w:kern w:val="2"/>
          <w:sz w:val="44"/>
          <w:szCs w:val="44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生猪产业持续健康发展事关人民群众基本生活,事关农业经济发展，2019年以来，我市积极落实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生猪稳产保供各项政策措施,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生猪生产已恢复至常年水平。但是猪肉价格回落较快，生猪养殖出现阶段性亏损，部分养猪场户生产积极性受到一定程度影响。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8月，农业农村部、国家发展改革委等6部委联合印发《关于促进生猪产业持续健康发展的意见》（农牧发〔2021〕24号），对新时期促进生猪产业持续健康发展作出了全面部署。2021年12月，省农业农村厅等7个部门联合出台《关于促进生猪产业持续健康发展的实施意见》（苏农牧〔2021〕27号）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为巩固生猪产能恢复成果，防止生猪产能大幅波动，</w:t>
      </w:r>
      <w:r>
        <w:rPr>
          <w:rFonts w:hint="eastAsia" w:ascii="仿宋_GB2312" w:hAnsi="宋体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市农业农村局联合其他五个部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门制定了我市《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关于稳定扶持政策促进生猪产业持续健康发展的实施方案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二、主要内容解析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《实施</w:t>
      </w:r>
      <w:r>
        <w:rPr>
          <w:rFonts w:hint="eastAsia" w:ascii="仿宋_GB2312" w:hAnsi="宋体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方案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》</w:t>
      </w:r>
      <w:r>
        <w:rPr>
          <w:rFonts w:hint="eastAsia" w:ascii="仿宋_GB2312" w:hAnsi="宋体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的主要内容是：</w:t>
      </w:r>
      <w:r>
        <w:rPr>
          <w:rFonts w:hint="eastAsia" w:ascii="Calibri" w:hAnsi="Calibri" w:eastAsia="方正仿宋_GBK" w:cstheme="minorBidi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在落实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《关于促进生猪产业持续健康发展的实施意见》（苏农牧〔2021〕27号）</w:t>
      </w:r>
      <w:r>
        <w:rPr>
          <w:rFonts w:hint="eastAsia" w:ascii="Calibri" w:hAnsi="Calibri" w:eastAsia="方正仿宋_GBK" w:cstheme="minorBidi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基础上，结合我市实际，对具体任务措施推进单位做了细化，并将我市能繁母猪和规模养猪场保有量任务分解下达各县区。正文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分为总体要求、重点工作任务、保障措施三个部分，将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淮安市生猪产能调控实施方案（暂行）、县区目标任务表和生猪产能调控工作评估实施细则作为附件。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正文第一部分总体要求，明确了指导思想和工作目标，提出了用5-10年时间，猪肉供应安全保障能力持续增强，自给率稳定在115%以上。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正文第二部分重点工作任务，提出了11项重点工作任务，明确了各县区、相关部门的工作职责。明确了“十四五”期间，全市能繁母猪存栏量稳定在12万头左右，最低保有量不少于10.8万头，规模猪场保有量保持在550家以上。建立市级生猪产能调控基地，对设计年出栏5000-8000头（不含8000头）的规模猪场建立市级生猪产能调控基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Times New Roman" w:hAnsi="Times New Roman" w:eastAsia="方正仿宋_GBK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正文第三部分保障措施，</w:t>
      </w:r>
      <w:r>
        <w:rPr>
          <w:rFonts w:hint="eastAsia" w:ascii="方正仿宋_GBK" w:eastAsia="方正仿宋_GBK"/>
          <w:bCs/>
          <w:szCs w:val="32"/>
        </w:rPr>
        <w:t>主要包括组织领导、</w:t>
      </w:r>
      <w:r>
        <w:rPr>
          <w:rFonts w:hint="eastAsia" w:ascii="方正仿宋_GBK" w:eastAsia="方正仿宋_GBK"/>
          <w:bCs/>
          <w:szCs w:val="32"/>
          <w:lang w:eastAsia="zh-CN"/>
        </w:rPr>
        <w:t>产能调控工作评估</w:t>
      </w:r>
      <w:r>
        <w:rPr>
          <w:rFonts w:hint="eastAsia" w:ascii="方正仿宋_GBK" w:eastAsia="方正仿宋_GBK"/>
          <w:bCs/>
          <w:szCs w:val="32"/>
        </w:rPr>
        <w:t>、</w:t>
      </w:r>
      <w:r>
        <w:rPr>
          <w:rFonts w:hint="eastAsia" w:ascii="方正仿宋_GBK" w:eastAsia="方正仿宋_GBK"/>
          <w:bCs/>
          <w:szCs w:val="32"/>
          <w:lang w:eastAsia="zh-CN"/>
        </w:rPr>
        <w:t>营造产业发展良好氛围</w:t>
      </w:r>
      <w:r>
        <w:rPr>
          <w:rFonts w:hint="eastAsia" w:ascii="方正仿宋_GBK" w:eastAsia="方正仿宋_GBK"/>
          <w:bCs/>
          <w:szCs w:val="32"/>
        </w:rPr>
        <w:t>等</w:t>
      </w:r>
      <w:r>
        <w:rPr>
          <w:rFonts w:hint="eastAsia" w:ascii="方正仿宋_GBK" w:eastAsia="方正仿宋_GBK"/>
          <w:bCs/>
          <w:szCs w:val="32"/>
          <w:lang w:eastAsia="zh-CN"/>
        </w:rPr>
        <w:t>三</w:t>
      </w:r>
      <w:r>
        <w:rPr>
          <w:rFonts w:hint="eastAsia" w:ascii="方正仿宋_GBK" w:eastAsia="方正仿宋_GBK"/>
          <w:bCs/>
          <w:szCs w:val="32"/>
        </w:rPr>
        <w:t>个方面</w:t>
      </w:r>
      <w:r>
        <w:rPr>
          <w:rFonts w:hint="eastAsia" w:ascii="Times New Roman" w:hAnsi="Times New Roman" w:eastAsia="方正仿宋_GBK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方正仿宋_GBK" w:eastAsia="方正仿宋_GBK"/>
          <w:bCs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eastAsia="方正仿宋_GBK"/>
          <w:bCs/>
          <w:szCs w:val="32"/>
          <w:lang w:eastAsia="zh-CN"/>
        </w:rPr>
        <w:t>根据省</w:t>
      </w:r>
      <w:r>
        <w:rPr>
          <w:rFonts w:hint="eastAsia" w:ascii="方正仿宋_GBK" w:eastAsia="方正仿宋_GBK"/>
          <w:bCs/>
          <w:szCs w:val="32"/>
          <w:lang w:val="en-US" w:eastAsia="zh-CN"/>
        </w:rPr>
        <w:t>生猪产能调控工作评估实施细则，</w:t>
      </w:r>
      <w:r>
        <w:rPr>
          <w:rFonts w:hint="eastAsia" w:ascii="方正仿宋_GBK" w:eastAsia="方正仿宋_GBK"/>
          <w:bCs/>
          <w:szCs w:val="32"/>
          <w:lang w:eastAsia="zh-CN"/>
        </w:rPr>
        <w:t>以能繁母猪存栏量为核心调控指标，构建生猪生产逆周期调控机制，</w:t>
      </w:r>
      <w:r>
        <w:rPr>
          <w:rFonts w:hint="eastAsia" w:ascii="方正仿宋_GBK" w:eastAsia="方正仿宋_GBK"/>
          <w:bCs/>
          <w:szCs w:val="32"/>
          <w:lang w:val="en-US" w:eastAsia="zh-CN"/>
        </w:rPr>
        <w:t>制定《淮安市</w:t>
      </w:r>
      <w:r>
        <w:rPr>
          <w:rFonts w:hint="eastAsia" w:ascii="方正仿宋_GBK" w:eastAsia="方正仿宋_GBK"/>
          <w:bCs/>
          <w:szCs w:val="32"/>
          <w:lang w:eastAsia="zh-CN"/>
        </w:rPr>
        <w:t>生猪产能调控实施方案（暂行）</w:t>
      </w:r>
      <w:r>
        <w:rPr>
          <w:rFonts w:hint="eastAsia" w:ascii="方正仿宋_GBK" w:eastAsia="方正仿宋_GBK"/>
          <w:bCs/>
          <w:szCs w:val="32"/>
          <w:lang w:val="en-US" w:eastAsia="zh-CN"/>
        </w:rPr>
        <w:t>》</w:t>
      </w:r>
      <w:r>
        <w:rPr>
          <w:rFonts w:hint="eastAsia" w:ascii="方正仿宋_GBK" w:eastAsia="方正仿宋_GBK"/>
          <w:bCs/>
          <w:szCs w:val="32"/>
          <w:lang w:eastAsia="zh-CN"/>
        </w:rPr>
        <w:t>。</w:t>
      </w:r>
      <w:r>
        <w:rPr>
          <w:rFonts w:hint="eastAsia" w:ascii="方正仿宋_GBK" w:eastAsia="方正仿宋_GBK"/>
          <w:bCs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529" w:firstLineChars="196"/>
        <w:jc w:val="both"/>
        <w:textAlignment w:val="auto"/>
        <w:rPr>
          <w:rFonts w:hint="default" w:ascii="Times New Roman" w:hAnsi="Times New Roman" w:eastAsia="方正仿宋_GBK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附件2明确了各县区能繁母猪和规模猪场（户）保有量目标任务表。</w:t>
      </w: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27" w:firstLineChars="196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3根据省评估指标和评估方法，建立我市生猪产能调控工作评估实施细则。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F4A77"/>
    <w:rsid w:val="0BCA6662"/>
    <w:rsid w:val="0BCC2F31"/>
    <w:rsid w:val="0ECE0BA8"/>
    <w:rsid w:val="0ED52630"/>
    <w:rsid w:val="19622AE2"/>
    <w:rsid w:val="1E882790"/>
    <w:rsid w:val="28192774"/>
    <w:rsid w:val="2F500984"/>
    <w:rsid w:val="2F62471E"/>
    <w:rsid w:val="31AC2617"/>
    <w:rsid w:val="3EC434BD"/>
    <w:rsid w:val="513F3F69"/>
    <w:rsid w:val="587D05BE"/>
    <w:rsid w:val="651966E7"/>
    <w:rsid w:val="6F606D3F"/>
    <w:rsid w:val="7176532F"/>
    <w:rsid w:val="75234CA5"/>
    <w:rsid w:val="7A1F4A77"/>
    <w:rsid w:val="7EC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Lines="0" w:afterLines="0"/>
      <w:ind w:left="0" w:leftChars="0" w:firstLine="420"/>
    </w:pPr>
    <w:rPr>
      <w:rFonts w:hint="eastAsia" w:ascii="仿宋_GB2312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beforeLines="0" w:after="120" w:afterLines="0"/>
      <w:ind w:left="420" w:leftChars="200"/>
    </w:pPr>
    <w:rPr>
      <w:rFonts w:hint="eastAsia"/>
      <w:sz w:val="21"/>
      <w:szCs w:val="22"/>
    </w:rPr>
  </w:style>
  <w:style w:type="paragraph" w:styleId="5">
    <w:name w:val="Body Text"/>
    <w:basedOn w:val="1"/>
    <w:unhideWhenUsed/>
    <w:qFormat/>
    <w:uiPriority w:val="0"/>
    <w:pPr>
      <w:spacing w:after="120" w:line="560" w:lineRule="exact"/>
      <w:ind w:firstLine="200" w:firstLineChars="200"/>
      <w:jc w:val="left"/>
    </w:pPr>
    <w:rPr>
      <w:rFonts w:ascii="Calibri" w:hAnsi="Calibri" w:eastAsia="仿宋_GB2312" w:cstheme="minorBidi"/>
      <w:sz w:val="3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rFonts w:ascii="Times New Roman" w:hAnsi="Times New Roman"/>
      <w:sz w:val="18"/>
    </w:rPr>
  </w:style>
  <w:style w:type="paragraph" w:customStyle="1" w:styleId="8">
    <w:name w:val="IndexHeading"/>
    <w:basedOn w:val="1"/>
    <w:next w:val="9"/>
    <w:qFormat/>
    <w:uiPriority w:val="0"/>
    <w:pPr>
      <w:spacing w:line="240" w:lineRule="auto"/>
      <w:jc w:val="both"/>
      <w:textAlignment w:val="baseline"/>
    </w:pPr>
    <w:rPr>
      <w:rFonts w:ascii="Arial" w:hAnsi="Arial" w:eastAsia="宋体"/>
      <w:b/>
      <w:kern w:val="2"/>
      <w:sz w:val="21"/>
      <w:szCs w:val="24"/>
      <w:lang w:val="en-US" w:eastAsia="zh-CN" w:bidi="ar-SA"/>
    </w:rPr>
  </w:style>
  <w:style w:type="paragraph" w:customStyle="1" w:styleId="9">
    <w:name w:val="Index1"/>
    <w:basedOn w:val="1"/>
    <w:next w:val="1"/>
    <w:qFormat/>
    <w:uiPriority w:val="0"/>
    <w:pPr>
      <w:spacing w:line="240" w:lineRule="auto"/>
      <w:jc w:val="both"/>
      <w:textAlignment w:val="baseline"/>
    </w:pPr>
  </w:style>
  <w:style w:type="paragraph" w:styleId="10">
    <w:name w:val="index heading"/>
    <w:basedOn w:val="1"/>
    <w:next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firstLine="0"/>
      <w:jc w:val="both"/>
    </w:pPr>
    <w:rPr>
      <w:rFonts w:ascii="仿宋_GB2312" w:hAnsi="宋体" w:eastAsia="仿宋_GB2312" w:cs="仿宋_GB2312"/>
      <w:kern w:val="2"/>
      <w:sz w:val="28"/>
      <w:szCs w:val="20"/>
      <w:lang w:val="en-US" w:eastAsia="zh-CN" w:bidi="ar"/>
    </w:rPr>
  </w:style>
  <w:style w:type="paragraph" w:styleId="11">
    <w:name w:val="index 1"/>
    <w:basedOn w:val="1"/>
    <w:next w:val="1"/>
    <w:qFormat/>
    <w:uiPriority w:val="0"/>
    <w:pPr>
      <w:keepNext w:val="0"/>
      <w:keepLines w:val="0"/>
      <w:widowControl w:val="0"/>
      <w:suppressLineNumbers/>
      <w:suppressAutoHyphens/>
      <w:adjustRightInd w:val="0"/>
      <w:spacing w:before="0" w:beforeAutospacing="0" w:after="0" w:afterAutospacing="0" w:line="288" w:lineRule="auto"/>
      <w:ind w:left="0" w:firstLine="0"/>
      <w:jc w:val="left"/>
    </w:pPr>
    <w:rPr>
      <w:rFonts w:hint="default" w:ascii="Calibri" w:hAnsi="Calibri" w:eastAsia="宋体" w:cs="Calibri"/>
      <w:kern w:val="0"/>
      <w:sz w:val="24"/>
      <w:szCs w:val="20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paragraph" w:customStyle="1" w:styleId="1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8">
    <w:name w:val="Table Paragraph"/>
    <w:basedOn w:val="1"/>
    <w:qFormat/>
    <w:uiPriority w:val="1"/>
    <w:pPr>
      <w:jc w:val="right"/>
    </w:pPr>
    <w:rPr>
      <w:rFonts w:ascii="PMingLiU" w:hAnsi="PMingLiU" w:eastAsia="PMingLiU" w:cs="PMingLiU"/>
      <w:lang w:val="zh-CN" w:eastAsia="zh-CN" w:bidi="zh-CN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1540</Words>
  <Characters>1632</Characters>
  <Lines>0</Lines>
  <Paragraphs>0</Paragraphs>
  <TotalTime>0</TotalTime>
  <ScaleCrop>false</ScaleCrop>
  <LinksUpToDate>false</LinksUpToDate>
  <CharactersWithSpaces>1638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2021-12-16T08:41:00Z</dcterms:created>
  <dc:creator>胖胖球</dc:creator>
  <cp:lastModifiedBy>胖胖球</cp:lastModifiedBy>
  <dcterms:modified xsi:type="dcterms:W3CDTF">2022-04-15T01:17:35Z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F0FC0440205449FEBAEFC2F9D7B18163</vt:lpwstr>
  </property>
</Properties>
</file>